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F7169" w14:textId="77777777" w:rsidR="00A4309E" w:rsidRDefault="00000000">
      <w:pPr>
        <w:spacing w:line="276" w:lineRule="auto"/>
        <w:jc w:val="center"/>
        <w:rPr>
          <w:rFonts w:ascii="Verdana" w:hAnsi="Verdana" w:cs="Arial"/>
          <w:b/>
          <w:bCs/>
          <w:szCs w:val="20"/>
        </w:rPr>
      </w:pPr>
      <w:r>
        <w:rPr>
          <w:rFonts w:ascii="Verdana" w:hAnsi="Verdana" w:cs="Arial"/>
          <w:b/>
          <w:bCs/>
          <w:szCs w:val="20"/>
        </w:rPr>
        <w:t>AVISO DE DISPENSA ELETRÔNICA Nº 0088/2024 – REEDIÇÃO</w:t>
      </w:r>
    </w:p>
    <w:p w14:paraId="67EE9C50" w14:textId="77777777" w:rsidR="00A4309E" w:rsidRDefault="00000000">
      <w:pPr>
        <w:spacing w:after="120" w:line="276" w:lineRule="auto"/>
        <w:jc w:val="center"/>
        <w:rPr>
          <w:rFonts w:ascii="Verdana" w:hAnsi="Verdana" w:cs="Arial"/>
          <w:b/>
          <w:bCs/>
          <w:szCs w:val="20"/>
        </w:rPr>
      </w:pPr>
      <w:r>
        <w:rPr>
          <w:rFonts w:ascii="Verdana" w:hAnsi="Verdana" w:cs="Arial"/>
          <w:b/>
          <w:bCs/>
          <w:szCs w:val="20"/>
        </w:rPr>
        <w:t>(Processo Administrativo n.º 006110/2024 de 15/08/2024)</w:t>
      </w:r>
    </w:p>
    <w:p w14:paraId="47EF9ABB" w14:textId="77777777" w:rsidR="00A4309E" w:rsidRDefault="00A4309E">
      <w:pPr>
        <w:spacing w:line="276" w:lineRule="auto"/>
        <w:rPr>
          <w:rFonts w:ascii="Verdana" w:hAnsi="Verdana" w:cs="Arial"/>
          <w:sz w:val="18"/>
          <w:szCs w:val="18"/>
        </w:rPr>
      </w:pPr>
    </w:p>
    <w:p w14:paraId="4E0FC077" w14:textId="77777777" w:rsidR="00A4309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Secretaria Municipal de Assistência, Desenvolvimento Social e Família</w:t>
      </w:r>
      <w:bookmarkEnd w:id="0"/>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D57687A" w14:textId="77777777" w:rsidR="00A4309E" w:rsidRDefault="00A4309E">
      <w:pPr>
        <w:spacing w:line="276" w:lineRule="auto"/>
        <w:jc w:val="both"/>
        <w:rPr>
          <w:rFonts w:ascii="Verdana" w:hAnsi="Verdana" w:cs="Arial"/>
          <w:sz w:val="18"/>
          <w:szCs w:val="18"/>
        </w:rPr>
      </w:pPr>
    </w:p>
    <w:p w14:paraId="2D4FE298" w14:textId="69E8F667" w:rsidR="00A4309E"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5A6264">
        <w:rPr>
          <w:rFonts w:ascii="Verdana" w:hAnsi="Verdana" w:cs="Arial"/>
          <w:b/>
          <w:bCs/>
          <w:szCs w:val="20"/>
        </w:rPr>
        <w:t>28</w:t>
      </w:r>
      <w:r>
        <w:rPr>
          <w:rFonts w:ascii="Verdana" w:hAnsi="Verdana" w:cs="Arial"/>
          <w:b/>
          <w:bCs/>
          <w:szCs w:val="20"/>
        </w:rPr>
        <w:t>/</w:t>
      </w:r>
      <w:r w:rsidR="005A6264">
        <w:rPr>
          <w:rFonts w:ascii="Verdana" w:hAnsi="Verdana" w:cs="Arial"/>
          <w:b/>
          <w:bCs/>
          <w:szCs w:val="20"/>
        </w:rPr>
        <w:t>01</w:t>
      </w:r>
      <w:r>
        <w:rPr>
          <w:rFonts w:ascii="Verdana" w:hAnsi="Verdana" w:cs="Arial"/>
          <w:b/>
          <w:bCs/>
          <w:szCs w:val="20"/>
        </w:rPr>
        <w:t>/2024.</w:t>
      </w:r>
    </w:p>
    <w:p w14:paraId="6CB4A5A0" w14:textId="77777777" w:rsidR="00A4309E" w:rsidRDefault="00000000">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6942E51B" w14:textId="32F443EF" w:rsidR="00A4309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5A6264">
        <w:rPr>
          <w:rFonts w:ascii="Verdana" w:hAnsi="Verdana" w:cs="Arial"/>
          <w:b/>
          <w:bCs/>
          <w:szCs w:val="20"/>
        </w:rPr>
        <w:t>09</w:t>
      </w:r>
      <w:r>
        <w:rPr>
          <w:rFonts w:ascii="Verdana" w:hAnsi="Verdana" w:cs="Arial"/>
          <w:b/>
          <w:bCs/>
          <w:szCs w:val="20"/>
        </w:rPr>
        <w:t xml:space="preserve">h00min as </w:t>
      </w:r>
      <w:r w:rsidR="005A6264">
        <w:rPr>
          <w:rFonts w:ascii="Verdana" w:hAnsi="Verdana" w:cs="Arial"/>
          <w:b/>
          <w:bCs/>
          <w:szCs w:val="20"/>
        </w:rPr>
        <w:t>15</w:t>
      </w:r>
      <w:r>
        <w:rPr>
          <w:rFonts w:ascii="Verdana" w:hAnsi="Verdana" w:cs="Arial"/>
          <w:b/>
          <w:bCs/>
          <w:szCs w:val="20"/>
        </w:rPr>
        <w:t>h00min.</w:t>
      </w:r>
    </w:p>
    <w:p w14:paraId="465C31EC" w14:textId="77777777" w:rsidR="00A4309E" w:rsidRDefault="00A4309E">
      <w:pPr>
        <w:spacing w:line="276" w:lineRule="auto"/>
        <w:rPr>
          <w:rFonts w:ascii="Verdana" w:hAnsi="Verdana" w:cs="Arial"/>
          <w:sz w:val="18"/>
          <w:szCs w:val="18"/>
        </w:rPr>
      </w:pPr>
    </w:p>
    <w:p w14:paraId="59F400E7" w14:textId="77777777" w:rsidR="00A4309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00D3736A" w14:textId="77777777" w:rsidR="00A4309E" w:rsidRDefault="00000000">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End w:id="1"/>
      <w:r>
        <w:rPr>
          <w:rFonts w:ascii="Verdana" w:hAnsi="Verdana" w:cs="Arial"/>
        </w:rPr>
        <w:t>aquisição de toldos visando proporcionar mais comodidade aos usuários do Cadastro único e da Sede da Secretaria de Assistência Social, deste município</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p>
    <w:tbl>
      <w:tblPr>
        <w:tblW w:w="9823" w:type="dxa"/>
        <w:tblInd w:w="55" w:type="dxa"/>
        <w:tblLayout w:type="fixed"/>
        <w:tblCellMar>
          <w:top w:w="55" w:type="dxa"/>
          <w:left w:w="55" w:type="dxa"/>
          <w:bottom w:w="55" w:type="dxa"/>
          <w:right w:w="55" w:type="dxa"/>
        </w:tblCellMar>
        <w:tblLook w:val="0000" w:firstRow="0" w:lastRow="0" w:firstColumn="0" w:lastColumn="0" w:noHBand="0" w:noVBand="0"/>
      </w:tblPr>
      <w:tblGrid>
        <w:gridCol w:w="668"/>
        <w:gridCol w:w="7309"/>
        <w:gridCol w:w="896"/>
        <w:gridCol w:w="950"/>
      </w:tblGrid>
      <w:tr w:rsidR="00A4309E" w14:paraId="15DA6C4F" w14:textId="77777777">
        <w:tc>
          <w:tcPr>
            <w:tcW w:w="668" w:type="dxa"/>
            <w:tcBorders>
              <w:top w:val="single" w:sz="4" w:space="0" w:color="000000"/>
              <w:left w:val="single" w:sz="4" w:space="0" w:color="000000"/>
              <w:bottom w:val="single" w:sz="4" w:space="0" w:color="000000"/>
              <w:right w:val="single" w:sz="4" w:space="0" w:color="000000"/>
            </w:tcBorders>
          </w:tcPr>
          <w:p w14:paraId="4AFF66A6" w14:textId="77777777" w:rsidR="00A4309E" w:rsidRDefault="00000000">
            <w:pPr>
              <w:pStyle w:val="Contedodatabela"/>
              <w:spacing w:before="28" w:after="28" w:line="276" w:lineRule="auto"/>
              <w:jc w:val="center"/>
            </w:pPr>
            <w:r>
              <w:rPr>
                <w:rFonts w:ascii="Verdana" w:hAnsi="Verdana"/>
                <w:b/>
                <w:bCs/>
                <w:color w:val="000000"/>
                <w:sz w:val="20"/>
              </w:rPr>
              <w:t>Item</w:t>
            </w:r>
          </w:p>
        </w:tc>
        <w:tc>
          <w:tcPr>
            <w:tcW w:w="7308" w:type="dxa"/>
            <w:tcBorders>
              <w:top w:val="single" w:sz="4" w:space="0" w:color="000000"/>
              <w:left w:val="single" w:sz="4" w:space="0" w:color="000000"/>
              <w:bottom w:val="single" w:sz="4" w:space="0" w:color="000000"/>
              <w:right w:val="single" w:sz="4" w:space="0" w:color="000000"/>
            </w:tcBorders>
          </w:tcPr>
          <w:p w14:paraId="4311D089" w14:textId="77777777" w:rsidR="00A4309E" w:rsidRDefault="00000000">
            <w:pPr>
              <w:pStyle w:val="Contedodatabela"/>
              <w:spacing w:before="28" w:after="28" w:line="276" w:lineRule="auto"/>
              <w:jc w:val="center"/>
            </w:pPr>
            <w:r>
              <w:rPr>
                <w:rFonts w:ascii="Verdana" w:hAnsi="Verdana"/>
                <w:b/>
                <w:bCs/>
                <w:color w:val="000000"/>
                <w:sz w:val="20"/>
              </w:rPr>
              <w:t>Descrição</w:t>
            </w:r>
          </w:p>
        </w:tc>
        <w:tc>
          <w:tcPr>
            <w:tcW w:w="896" w:type="dxa"/>
            <w:tcBorders>
              <w:top w:val="single" w:sz="4" w:space="0" w:color="000000"/>
              <w:left w:val="single" w:sz="4" w:space="0" w:color="000000"/>
              <w:bottom w:val="single" w:sz="4" w:space="0" w:color="000000"/>
              <w:right w:val="single" w:sz="4" w:space="0" w:color="000000"/>
            </w:tcBorders>
          </w:tcPr>
          <w:p w14:paraId="1D7A0218" w14:textId="77777777" w:rsidR="00A4309E" w:rsidRDefault="00000000">
            <w:pPr>
              <w:pStyle w:val="Contedodatabela"/>
              <w:spacing w:before="28" w:after="28" w:line="276" w:lineRule="auto"/>
              <w:jc w:val="center"/>
            </w:pPr>
            <w:proofErr w:type="spellStart"/>
            <w:r>
              <w:rPr>
                <w:rFonts w:ascii="Verdana" w:hAnsi="Verdana"/>
                <w:b/>
                <w:bCs/>
                <w:color w:val="000000"/>
                <w:sz w:val="20"/>
              </w:rPr>
              <w:t>Unid</w:t>
            </w:r>
            <w:proofErr w:type="spellEnd"/>
          </w:p>
        </w:tc>
        <w:tc>
          <w:tcPr>
            <w:tcW w:w="950" w:type="dxa"/>
            <w:tcBorders>
              <w:top w:val="single" w:sz="4" w:space="0" w:color="000000"/>
              <w:left w:val="single" w:sz="4" w:space="0" w:color="000000"/>
              <w:bottom w:val="single" w:sz="4" w:space="0" w:color="000000"/>
              <w:right w:val="single" w:sz="4" w:space="0" w:color="000000"/>
            </w:tcBorders>
          </w:tcPr>
          <w:p w14:paraId="6CAF22E4" w14:textId="77777777" w:rsidR="00A4309E" w:rsidRDefault="00000000">
            <w:pPr>
              <w:pStyle w:val="Contedodatabela"/>
              <w:spacing w:before="28" w:after="28" w:line="276" w:lineRule="auto"/>
              <w:jc w:val="center"/>
            </w:pPr>
            <w:r>
              <w:rPr>
                <w:rFonts w:ascii="Verdana" w:hAnsi="Verdana"/>
                <w:b/>
                <w:bCs/>
                <w:color w:val="000000"/>
                <w:sz w:val="20"/>
              </w:rPr>
              <w:t>Quant</w:t>
            </w:r>
          </w:p>
        </w:tc>
      </w:tr>
      <w:tr w:rsidR="00A4309E" w14:paraId="27CEA22C" w14:textId="77777777">
        <w:tc>
          <w:tcPr>
            <w:tcW w:w="668" w:type="dxa"/>
            <w:tcBorders>
              <w:top w:val="single" w:sz="4" w:space="0" w:color="000000"/>
              <w:left w:val="single" w:sz="4" w:space="0" w:color="000000"/>
              <w:bottom w:val="single" w:sz="4" w:space="0" w:color="000000"/>
              <w:right w:val="single" w:sz="4" w:space="0" w:color="000000"/>
            </w:tcBorders>
            <w:vAlign w:val="center"/>
          </w:tcPr>
          <w:p w14:paraId="7779C054" w14:textId="77777777" w:rsidR="00A4309E" w:rsidRDefault="00000000">
            <w:pPr>
              <w:pStyle w:val="TableParagraph"/>
              <w:spacing w:before="28" w:after="28" w:line="276" w:lineRule="auto"/>
            </w:pPr>
            <w:r>
              <w:rPr>
                <w:rFonts w:ascii="Verdana" w:hAnsi="Verdana"/>
                <w:color w:val="000000"/>
                <w:spacing w:val="-5"/>
                <w:sz w:val="20"/>
                <w:szCs w:val="20"/>
              </w:rPr>
              <w:t>001</w:t>
            </w:r>
          </w:p>
        </w:tc>
        <w:tc>
          <w:tcPr>
            <w:tcW w:w="7308" w:type="dxa"/>
            <w:tcBorders>
              <w:top w:val="single" w:sz="4" w:space="0" w:color="000000"/>
              <w:left w:val="single" w:sz="4" w:space="0" w:color="000000"/>
              <w:bottom w:val="single" w:sz="4" w:space="0" w:color="000000"/>
              <w:right w:val="single" w:sz="4" w:space="0" w:color="000000"/>
            </w:tcBorders>
          </w:tcPr>
          <w:p w14:paraId="14D4481C" w14:textId="77777777" w:rsidR="00A4309E" w:rsidRDefault="00000000">
            <w:pPr>
              <w:pStyle w:val="TableParagraph"/>
              <w:spacing w:line="276" w:lineRule="auto"/>
              <w:jc w:val="both"/>
            </w:pPr>
            <w:r>
              <w:rPr>
                <w:rFonts w:ascii="Verdana" w:hAnsi="Verdana"/>
                <w:sz w:val="20"/>
                <w:szCs w:val="20"/>
              </w:rPr>
              <w:t>Toldo fixo em poli-carbonato fumê em estrutura em ferro galvanizado e pintura epoxi preta e mão francesa de fixação (com inclusão de buchas e parafusos para instalação no local).</w:t>
            </w:r>
          </w:p>
          <w:p w14:paraId="2EDF1BBC" w14:textId="77777777" w:rsidR="00A4309E" w:rsidRDefault="00000000">
            <w:pPr>
              <w:pStyle w:val="TableParagraph"/>
              <w:spacing w:line="276" w:lineRule="auto"/>
            </w:pPr>
            <w:r>
              <w:rPr>
                <w:rFonts w:ascii="Verdana" w:hAnsi="Verdana"/>
                <w:sz w:val="20"/>
                <w:szCs w:val="20"/>
              </w:rPr>
              <w:t>Medidas:</w:t>
            </w:r>
          </w:p>
          <w:p w14:paraId="4037D2AA" w14:textId="77777777" w:rsidR="00A4309E" w:rsidRDefault="00000000">
            <w:pPr>
              <w:pStyle w:val="TableParagraph"/>
              <w:spacing w:line="276" w:lineRule="auto"/>
            </w:pPr>
            <w:r>
              <w:rPr>
                <w:rFonts w:ascii="Verdana" w:hAnsi="Verdana"/>
                <w:sz w:val="20"/>
                <w:szCs w:val="20"/>
              </w:rPr>
              <w:t>Comprimento 7 metros</w:t>
            </w:r>
          </w:p>
          <w:p w14:paraId="389995A8" w14:textId="77777777" w:rsidR="00A4309E" w:rsidRDefault="00000000">
            <w:pPr>
              <w:pStyle w:val="TableParagraph"/>
              <w:spacing w:line="276" w:lineRule="auto"/>
            </w:pPr>
            <w:r>
              <w:rPr>
                <w:rFonts w:ascii="Verdana" w:hAnsi="Verdana"/>
                <w:sz w:val="20"/>
                <w:szCs w:val="20"/>
              </w:rPr>
              <w:t>Largura: 0,90 metros</w:t>
            </w:r>
          </w:p>
        </w:tc>
        <w:tc>
          <w:tcPr>
            <w:tcW w:w="896" w:type="dxa"/>
            <w:tcBorders>
              <w:top w:val="single" w:sz="4" w:space="0" w:color="000000"/>
              <w:left w:val="single" w:sz="4" w:space="0" w:color="000000"/>
              <w:bottom w:val="single" w:sz="4" w:space="0" w:color="000000"/>
              <w:right w:val="single" w:sz="4" w:space="0" w:color="000000"/>
            </w:tcBorders>
            <w:vAlign w:val="center"/>
          </w:tcPr>
          <w:p w14:paraId="770F15F6" w14:textId="77777777" w:rsidR="00A4309E" w:rsidRDefault="00000000">
            <w:pPr>
              <w:pStyle w:val="TableParagraph"/>
              <w:spacing w:before="28" w:after="28" w:line="276" w:lineRule="auto"/>
              <w:jc w:val="center"/>
            </w:pPr>
            <w:r>
              <w:rPr>
                <w:rFonts w:ascii="Verdana" w:hAnsi="Verdana"/>
                <w:spacing w:val="-5"/>
                <w:sz w:val="20"/>
                <w:szCs w:val="20"/>
              </w:rPr>
              <w:t>UN</w:t>
            </w:r>
          </w:p>
        </w:tc>
        <w:tc>
          <w:tcPr>
            <w:tcW w:w="950" w:type="dxa"/>
            <w:tcBorders>
              <w:top w:val="single" w:sz="4" w:space="0" w:color="000000"/>
              <w:left w:val="single" w:sz="4" w:space="0" w:color="000000"/>
              <w:bottom w:val="single" w:sz="4" w:space="0" w:color="000000"/>
              <w:right w:val="single" w:sz="4" w:space="0" w:color="000000"/>
            </w:tcBorders>
            <w:vAlign w:val="center"/>
          </w:tcPr>
          <w:p w14:paraId="18CA6698" w14:textId="77777777" w:rsidR="00A4309E" w:rsidRDefault="00000000">
            <w:pPr>
              <w:pStyle w:val="TableParagraph"/>
              <w:spacing w:before="28" w:after="28" w:line="276" w:lineRule="auto"/>
              <w:jc w:val="center"/>
            </w:pPr>
            <w:r>
              <w:rPr>
                <w:rFonts w:ascii="Verdana" w:hAnsi="Verdana"/>
                <w:spacing w:val="-10"/>
                <w:sz w:val="20"/>
                <w:szCs w:val="20"/>
              </w:rPr>
              <w:t>01</w:t>
            </w:r>
          </w:p>
        </w:tc>
      </w:tr>
      <w:tr w:rsidR="00A4309E" w14:paraId="29881FA2" w14:textId="77777777">
        <w:tc>
          <w:tcPr>
            <w:tcW w:w="668" w:type="dxa"/>
            <w:tcBorders>
              <w:top w:val="single" w:sz="4" w:space="0" w:color="000000"/>
              <w:left w:val="single" w:sz="4" w:space="0" w:color="000000"/>
              <w:bottom w:val="single" w:sz="4" w:space="0" w:color="000000"/>
              <w:right w:val="single" w:sz="4" w:space="0" w:color="000000"/>
            </w:tcBorders>
            <w:vAlign w:val="center"/>
          </w:tcPr>
          <w:p w14:paraId="3D303A5E" w14:textId="77777777" w:rsidR="00A4309E" w:rsidRDefault="00000000">
            <w:pPr>
              <w:pStyle w:val="TableParagraph"/>
              <w:spacing w:before="28" w:after="28" w:line="276" w:lineRule="auto"/>
            </w:pPr>
            <w:r>
              <w:rPr>
                <w:rFonts w:ascii="Verdana" w:hAnsi="Verdana"/>
                <w:color w:val="000000"/>
                <w:spacing w:val="-5"/>
                <w:sz w:val="20"/>
                <w:szCs w:val="20"/>
              </w:rPr>
              <w:t>002</w:t>
            </w:r>
          </w:p>
        </w:tc>
        <w:tc>
          <w:tcPr>
            <w:tcW w:w="7308" w:type="dxa"/>
            <w:tcBorders>
              <w:top w:val="single" w:sz="4" w:space="0" w:color="000000"/>
              <w:left w:val="single" w:sz="4" w:space="0" w:color="000000"/>
              <w:bottom w:val="single" w:sz="4" w:space="0" w:color="000000"/>
              <w:right w:val="single" w:sz="4" w:space="0" w:color="000000"/>
            </w:tcBorders>
          </w:tcPr>
          <w:p w14:paraId="7E3BED74" w14:textId="77777777" w:rsidR="00A4309E" w:rsidRDefault="00000000">
            <w:pPr>
              <w:pStyle w:val="TableParagraph"/>
              <w:spacing w:line="276" w:lineRule="auto"/>
              <w:jc w:val="both"/>
            </w:pPr>
            <w:r>
              <w:rPr>
                <w:rFonts w:ascii="Verdana" w:hAnsi="Verdana"/>
                <w:sz w:val="20"/>
                <w:szCs w:val="20"/>
              </w:rPr>
              <w:t>Toldo fixo em poli-carbonato transparente (incolor) em estrutura em ferro galvanizado e pintura epoxi branca e mão francesa de fixação (com inclusão de buchas e parafusos para instalação no local)</w:t>
            </w:r>
          </w:p>
          <w:p w14:paraId="5C117C04" w14:textId="77777777" w:rsidR="00A4309E" w:rsidRDefault="00000000">
            <w:pPr>
              <w:pStyle w:val="TableParagraph"/>
              <w:spacing w:line="276" w:lineRule="auto"/>
            </w:pPr>
            <w:r>
              <w:rPr>
                <w:rFonts w:ascii="Verdana" w:hAnsi="Verdana"/>
                <w:sz w:val="20"/>
                <w:szCs w:val="20"/>
              </w:rPr>
              <w:t>Medidas:</w:t>
            </w:r>
          </w:p>
          <w:p w14:paraId="25CF8F7B" w14:textId="77777777" w:rsidR="00A4309E" w:rsidRDefault="00000000">
            <w:pPr>
              <w:pStyle w:val="TableParagraph"/>
              <w:spacing w:line="276" w:lineRule="auto"/>
            </w:pPr>
            <w:r>
              <w:rPr>
                <w:rFonts w:ascii="Verdana" w:hAnsi="Verdana"/>
                <w:sz w:val="20"/>
                <w:szCs w:val="20"/>
              </w:rPr>
              <w:t>Comprimento 9 metros</w:t>
            </w:r>
          </w:p>
          <w:p w14:paraId="26C015FC" w14:textId="77777777" w:rsidR="00A4309E" w:rsidRDefault="00000000">
            <w:pPr>
              <w:pStyle w:val="TableParagraph"/>
              <w:spacing w:line="276" w:lineRule="auto"/>
            </w:pPr>
            <w:r>
              <w:rPr>
                <w:rFonts w:ascii="Verdana" w:hAnsi="Verdana"/>
                <w:spacing w:val="-2"/>
                <w:sz w:val="20"/>
                <w:szCs w:val="20"/>
              </w:rPr>
              <w:t>Largura: 1,2 metros</w:t>
            </w:r>
          </w:p>
        </w:tc>
        <w:tc>
          <w:tcPr>
            <w:tcW w:w="896" w:type="dxa"/>
            <w:tcBorders>
              <w:top w:val="single" w:sz="4" w:space="0" w:color="000000"/>
              <w:left w:val="single" w:sz="4" w:space="0" w:color="000000"/>
              <w:bottom w:val="single" w:sz="4" w:space="0" w:color="000000"/>
              <w:right w:val="single" w:sz="4" w:space="0" w:color="000000"/>
            </w:tcBorders>
            <w:vAlign w:val="center"/>
          </w:tcPr>
          <w:p w14:paraId="32183625" w14:textId="77777777" w:rsidR="00A4309E" w:rsidRDefault="00000000">
            <w:pPr>
              <w:pStyle w:val="TableParagraph"/>
              <w:spacing w:before="28" w:after="28" w:line="276" w:lineRule="auto"/>
              <w:jc w:val="center"/>
            </w:pPr>
            <w:r>
              <w:rPr>
                <w:rFonts w:ascii="Verdana" w:hAnsi="Verdana"/>
                <w:spacing w:val="-5"/>
                <w:sz w:val="20"/>
                <w:szCs w:val="20"/>
              </w:rPr>
              <w:t>UN</w:t>
            </w:r>
          </w:p>
        </w:tc>
        <w:tc>
          <w:tcPr>
            <w:tcW w:w="950" w:type="dxa"/>
            <w:tcBorders>
              <w:top w:val="single" w:sz="4" w:space="0" w:color="000000"/>
              <w:left w:val="single" w:sz="4" w:space="0" w:color="000000"/>
              <w:bottom w:val="single" w:sz="4" w:space="0" w:color="000000"/>
              <w:right w:val="single" w:sz="4" w:space="0" w:color="000000"/>
            </w:tcBorders>
            <w:vAlign w:val="center"/>
          </w:tcPr>
          <w:p w14:paraId="65E1FBDC" w14:textId="77777777" w:rsidR="00A4309E" w:rsidRDefault="00000000">
            <w:pPr>
              <w:pStyle w:val="TableParagraph"/>
              <w:spacing w:before="28" w:after="28" w:line="276" w:lineRule="auto"/>
              <w:jc w:val="center"/>
            </w:pPr>
            <w:r>
              <w:rPr>
                <w:rFonts w:ascii="Verdana" w:hAnsi="Verdana"/>
                <w:spacing w:val="-5"/>
                <w:sz w:val="20"/>
                <w:szCs w:val="20"/>
              </w:rPr>
              <w:t>01</w:t>
            </w:r>
            <w:bookmarkStart w:id="2" w:name="_Hlk158282862"/>
            <w:bookmarkStart w:id="3" w:name="_Hlk179183174"/>
            <w:bookmarkEnd w:id="2"/>
            <w:bookmarkEnd w:id="3"/>
          </w:p>
        </w:tc>
      </w:tr>
    </w:tbl>
    <w:p w14:paraId="6632553A" w14:textId="77777777" w:rsidR="00A4309E"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33FC87EF" w14:textId="77777777" w:rsidR="00A4309E" w:rsidRDefault="00A4309E">
      <w:pPr>
        <w:pStyle w:val="PADRO"/>
        <w:keepNext w:val="0"/>
        <w:widowControl/>
        <w:shd w:val="clear" w:color="auto" w:fill="auto"/>
        <w:spacing w:before="0" w:after="0"/>
        <w:ind w:firstLine="0"/>
        <w:rPr>
          <w:rFonts w:ascii="Verdana" w:hAnsi="Verdana" w:cs="Arial"/>
          <w:szCs w:val="20"/>
        </w:rPr>
      </w:pPr>
    </w:p>
    <w:p w14:paraId="79F7AAF2" w14:textId="77777777" w:rsidR="00A430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D65FEED" w14:textId="77777777" w:rsidR="00A4309E"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3CF18B10" w14:textId="77777777" w:rsidR="00A4309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1970AACC" w14:textId="77777777" w:rsidR="00A4309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255209D" w14:textId="77777777" w:rsidR="00A4309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66D0EBF8" w14:textId="77777777" w:rsidR="00A4309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lastRenderedPageBreak/>
        <w:t>Que não atendam às condições deste Aviso de Contratação Direta e seu(s) anexo(s);</w:t>
      </w:r>
    </w:p>
    <w:p w14:paraId="77F96720" w14:textId="77777777" w:rsidR="00A4309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5F63541" w14:textId="77777777" w:rsidR="00A4309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4165D78E" w14:textId="77777777" w:rsidR="00A4309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B0B2D5C" w14:textId="77777777" w:rsidR="00A4309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76D82D43" w14:textId="77777777" w:rsidR="00A4309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E4D5382" w14:textId="77777777" w:rsidR="00A4309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578978EB" w14:textId="77777777" w:rsidR="00A4309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FF0AF47" w14:textId="77777777" w:rsidR="00A4309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5F8123D0" w14:textId="77777777" w:rsidR="00A4309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847C76A" w14:textId="77777777" w:rsidR="00A4309E" w:rsidRDefault="00000000">
      <w:pPr>
        <w:numPr>
          <w:ilvl w:val="3"/>
          <w:numId w:val="1"/>
        </w:numPr>
        <w:tabs>
          <w:tab w:val="left" w:pos="2205"/>
        </w:tabs>
        <w:spacing w:before="120" w:after="120" w:line="276" w:lineRule="auto"/>
        <w:ind w:left="1077" w:firstLine="0"/>
        <w:jc w:val="both"/>
        <w:rPr>
          <w:rFonts w:ascii="Verdana" w:hAnsi="Verdana" w:cs="Arial"/>
          <w:szCs w:val="20"/>
        </w:rPr>
      </w:pPr>
      <w:r>
        <w:rPr>
          <w:rFonts w:ascii="Verdana" w:hAnsi="Verdana" w:cs="Arial"/>
          <w:szCs w:val="20"/>
        </w:rPr>
        <w:t>Equiparam-se aos autores do projeto as empresas integrantes do mesmo grupo econômico;</w:t>
      </w:r>
    </w:p>
    <w:p w14:paraId="74BA1A13" w14:textId="77777777" w:rsidR="00A4309E" w:rsidRDefault="00000000">
      <w:pPr>
        <w:numPr>
          <w:ilvl w:val="3"/>
          <w:numId w:val="1"/>
        </w:numPr>
        <w:tabs>
          <w:tab w:val="left" w:pos="2205"/>
        </w:tabs>
        <w:spacing w:before="120" w:after="120" w:line="276" w:lineRule="auto"/>
        <w:ind w:left="1077" w:firstLine="0"/>
        <w:jc w:val="both"/>
        <w:rPr>
          <w:rFonts w:ascii="Verdana" w:hAnsi="Verdana" w:cs="Arial"/>
          <w:szCs w:val="20"/>
        </w:rPr>
      </w:pPr>
      <w: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8752C0" w14:textId="77777777" w:rsidR="00A4309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3C7E4F5D" w14:textId="77777777" w:rsidR="00A4309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54B784CA" w14:textId="77777777" w:rsidR="00A4309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1F6E29B4" w14:textId="77777777" w:rsidR="00A4309E" w:rsidRDefault="00A4309E">
      <w:pPr>
        <w:spacing w:line="276" w:lineRule="auto"/>
        <w:ind w:left="574"/>
        <w:jc w:val="both"/>
        <w:rPr>
          <w:rFonts w:ascii="Verdana" w:hAnsi="Verdana"/>
        </w:rPr>
      </w:pPr>
    </w:p>
    <w:p w14:paraId="60429C94" w14:textId="77777777" w:rsidR="00A4309E" w:rsidRDefault="00A4309E">
      <w:pPr>
        <w:spacing w:line="276" w:lineRule="auto"/>
        <w:ind w:left="574"/>
        <w:jc w:val="both"/>
        <w:rPr>
          <w:rFonts w:ascii="Verdana" w:hAnsi="Verdana"/>
        </w:rPr>
      </w:pPr>
    </w:p>
    <w:p w14:paraId="767DD0D3" w14:textId="77777777" w:rsidR="00A4309E" w:rsidRDefault="00A4309E">
      <w:pPr>
        <w:spacing w:line="276" w:lineRule="auto"/>
        <w:ind w:left="574"/>
        <w:jc w:val="both"/>
        <w:rPr>
          <w:rFonts w:ascii="Verdana" w:hAnsi="Verdana"/>
        </w:rPr>
      </w:pPr>
    </w:p>
    <w:p w14:paraId="53C1208B" w14:textId="77777777" w:rsidR="00A430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330A51EF" w14:textId="77777777" w:rsidR="00A430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DF604B5" w14:textId="77777777" w:rsidR="00A4309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521F6726" w14:textId="77777777" w:rsidR="00A4309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9C4FD04" w14:textId="77777777" w:rsidR="00A4309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52B3E9F" w14:textId="77777777" w:rsidR="00A4309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70E2E21"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60C960F"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BE590C5"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0EFAECE"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611FB7D"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6AE9BE8D"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44026C1" w14:textId="77777777" w:rsidR="00A4309E" w:rsidRDefault="00A4309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4C1B7395" w14:textId="77777777" w:rsidR="00A4309E" w:rsidRDefault="00A4309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542E012E" w14:textId="77777777" w:rsidR="00A4309E" w:rsidRDefault="00A4309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03F02AB1" w14:textId="77777777" w:rsidR="00A4309E" w:rsidRDefault="00A4309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FA267C6"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Que inexistem fatos impeditivos para sua habilitação no certame, ciente da </w:t>
      </w:r>
      <w:r>
        <w:rPr>
          <w:rFonts w:ascii="Verdana" w:hAnsi="Verdana"/>
        </w:rPr>
        <w:t>obrigatoriedade</w:t>
      </w:r>
      <w:r>
        <w:rPr>
          <w:rFonts w:ascii="Verdana" w:hAnsi="Verdana" w:cs="Arial"/>
          <w:szCs w:val="20"/>
        </w:rPr>
        <w:t xml:space="preserve"> de declarar ocorrências posteriores;</w:t>
      </w:r>
    </w:p>
    <w:p w14:paraId="0473D580"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AD23650"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1D7A785A"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Que assume a responsabilidade pelas transações que forem efetuadas no sistema, assumindo como firmes e verdadeiras;</w:t>
      </w:r>
    </w:p>
    <w:p w14:paraId="7E67CDB6"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Que cumpre as exigências de reserva de cargos para pessoa com deficiência e para reabilitado da Previdência Social, de que trata o art. 93 da Lei nº 8.213/91.</w:t>
      </w:r>
    </w:p>
    <w:p w14:paraId="6F4BC815"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lastRenderedPageBreak/>
        <w:t>Que não emprega menor de 18 anos em trabalho noturno, perigoso ou insalubre e não emprega menor de 16 anos, salvo menor, a partir de 14 anos, na condição de aprendiz, nos termos do artigo 7°, XXXIII, da Constituição;</w:t>
      </w:r>
    </w:p>
    <w:p w14:paraId="4947CF54" w14:textId="77777777" w:rsidR="00A4309E" w:rsidRDefault="00A4309E">
      <w:pPr>
        <w:tabs>
          <w:tab w:val="left" w:pos="1582"/>
        </w:tabs>
        <w:spacing w:line="276" w:lineRule="auto"/>
        <w:ind w:left="1224"/>
        <w:jc w:val="both"/>
        <w:rPr>
          <w:rFonts w:ascii="Verdana" w:hAnsi="Verdana" w:cs="Arial"/>
          <w:szCs w:val="20"/>
        </w:rPr>
      </w:pPr>
    </w:p>
    <w:p w14:paraId="62E9B38A" w14:textId="77777777" w:rsidR="00A4309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3A998FCC" w14:textId="77777777" w:rsidR="00A4309E"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302E56B5" w14:textId="77777777" w:rsidR="00A4309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CC1302C"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i/>
          <w:iCs/>
          <w:szCs w:val="20"/>
        </w:rPr>
        <w:t xml:space="preserve"> </w:t>
      </w:r>
      <w:r>
        <w:rPr>
          <w:rFonts w:ascii="Verdana" w:hAnsi="Verdana" w:cs="Arial"/>
          <w:b/>
          <w:bCs/>
          <w:szCs w:val="20"/>
        </w:rPr>
        <w:t xml:space="preserve">O </w:t>
      </w:r>
      <w:r>
        <w:t>lance</w:t>
      </w:r>
      <w:r>
        <w:rPr>
          <w:rFonts w:ascii="Verdana" w:hAnsi="Verdana" w:cs="Arial"/>
          <w:b/>
          <w:bCs/>
          <w:szCs w:val="20"/>
        </w:rPr>
        <w:t xml:space="preserve"> deverá ser ofertado pelo valor unitário.</w:t>
      </w:r>
    </w:p>
    <w:p w14:paraId="1A6200B2" w14:textId="77777777" w:rsidR="00A4309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CC1781E"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529ED5D"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1483FA28" w14:textId="77777777" w:rsidR="00A4309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26207D31" w14:textId="77777777" w:rsidR="00A4309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476F7E2B" w14:textId="77777777" w:rsidR="00A4309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1B480865" w14:textId="77777777" w:rsidR="00A4309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3576DD30"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O encerramento da fase de lances ocorrerá de forma automática pontualmente no horário indicado, sem qualquer possibilidade de prorrogação e não havendo tempo aleatório ou mecanismo similar.</w:t>
      </w:r>
    </w:p>
    <w:p w14:paraId="2C1053C1" w14:textId="77777777" w:rsidR="00A4309E" w:rsidRDefault="00A4309E">
      <w:pPr>
        <w:pStyle w:val="PargrafodaLista"/>
        <w:spacing w:before="6" w:after="6" w:line="276" w:lineRule="auto"/>
        <w:ind w:left="1224"/>
        <w:jc w:val="both"/>
        <w:rPr>
          <w:rFonts w:ascii="Verdana" w:hAnsi="Verdana" w:cs="Arial"/>
          <w:szCs w:val="20"/>
        </w:rPr>
      </w:pPr>
    </w:p>
    <w:p w14:paraId="0969DA60" w14:textId="77777777" w:rsidR="00A430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3CEB3E63" w14:textId="77777777" w:rsidR="00A430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27C52792" w14:textId="77777777" w:rsidR="00A4309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518BCA14"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Neste caso, será encaminhada contraproposta ao fornecedor que tenha </w:t>
      </w:r>
      <w:r>
        <w:t>apresentado</w:t>
      </w:r>
      <w:r>
        <w:rPr>
          <w:rFonts w:ascii="Verdana" w:hAnsi="Verdana" w:cs="Arial"/>
          <w:szCs w:val="20"/>
        </w:rPr>
        <w:t xml:space="preserve"> o melhor preço, para que seja obtida melhor proposta com preço compatível ao estimado pela Administração.</w:t>
      </w:r>
    </w:p>
    <w:p w14:paraId="7AD44A63"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A negociação poderá ser feita com os demais fornecedores classificados, respeitada a ordem de classificação, quando o primeiro colocado, mesmo após a negociação, for </w:t>
      </w:r>
      <w:r>
        <w:t>desclassificado</w:t>
      </w:r>
      <w:r>
        <w:rPr>
          <w:rFonts w:ascii="Verdana" w:hAnsi="Verdana" w:cs="Arial"/>
          <w:szCs w:val="20"/>
        </w:rPr>
        <w:t xml:space="preserve"> em razão de sua proposta permanecer acima do preço máximo definido para a contratação.</w:t>
      </w:r>
    </w:p>
    <w:p w14:paraId="3D36B219"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lastRenderedPageBreak/>
        <w:t xml:space="preserve">Em qualquer caso, concluída a negociação, o resultado será registrado na ata do </w:t>
      </w:r>
      <w:r>
        <w:t>procedimento</w:t>
      </w:r>
      <w:r>
        <w:rPr>
          <w:rFonts w:ascii="Verdana" w:hAnsi="Verdana" w:cs="Arial"/>
          <w:szCs w:val="20"/>
        </w:rPr>
        <w:t xml:space="preserve"> da dispensa eletrônica.</w:t>
      </w:r>
    </w:p>
    <w:p w14:paraId="765B45EA" w14:textId="77777777" w:rsidR="00A4309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2696243C" w14:textId="77777777" w:rsidR="00A4309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68F8DFF2" w14:textId="77777777" w:rsidR="00A4309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EB43210"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i/>
          <w:iCs/>
          <w:highlight w:val="yellow"/>
          <w:u w:val="single"/>
        </w:rPr>
        <w:t xml:space="preserve">Apresentar preços unitários ou globais acima dos valores estabelecidos como de </w:t>
      </w:r>
      <w:r>
        <w:t>referência</w:t>
      </w:r>
      <w:r>
        <w:rPr>
          <w:rFonts w:ascii="Verdana" w:hAnsi="Verdana"/>
          <w:i/>
          <w:iCs/>
          <w:highlight w:val="yellow"/>
          <w:u w:val="single"/>
        </w:rPr>
        <w:t xml:space="preserve"> máxima.</w:t>
      </w:r>
    </w:p>
    <w:p w14:paraId="51F15FE9"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Contiver</w:t>
      </w:r>
      <w:r>
        <w:rPr>
          <w:rFonts w:ascii="Verdana" w:hAnsi="Verdana" w:cs="Arial"/>
          <w:szCs w:val="20"/>
        </w:rPr>
        <w:t xml:space="preserve"> vícios insanáveis</w:t>
      </w:r>
      <w:r>
        <w:rPr>
          <w:rFonts w:ascii="Verdana" w:hAnsi="Verdana" w:cs="Arial"/>
          <w:iCs/>
          <w:szCs w:val="20"/>
        </w:rPr>
        <w:t>;</w:t>
      </w:r>
    </w:p>
    <w:p w14:paraId="33F94E27"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E380635"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Apresentar</w:t>
      </w:r>
      <w:r>
        <w:rPr>
          <w:rFonts w:ascii="Verdana" w:hAnsi="Verdana" w:cs="Arial"/>
          <w:szCs w:val="20"/>
        </w:rPr>
        <w:t xml:space="preserve"> preços inexequíveis ou permanecerem acima do preço máximo definido para a contratação;</w:t>
      </w:r>
    </w:p>
    <w:p w14:paraId="46530981"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Não</w:t>
      </w:r>
      <w:r>
        <w:rPr>
          <w:rFonts w:ascii="Verdana" w:hAnsi="Verdana" w:cs="Arial"/>
          <w:szCs w:val="20"/>
        </w:rPr>
        <w:t xml:space="preserve"> tiverem sua exequibilidade demonstrada, quando exigido pela Administração</w:t>
      </w:r>
      <w:r>
        <w:rPr>
          <w:rFonts w:ascii="Verdana" w:hAnsi="Verdana" w:cs="Arial"/>
          <w:iCs/>
          <w:szCs w:val="20"/>
        </w:rPr>
        <w:t>;</w:t>
      </w:r>
    </w:p>
    <w:p w14:paraId="7AA06337"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Apresentar</w:t>
      </w:r>
      <w:r>
        <w:rPr>
          <w:rFonts w:ascii="Verdana" w:hAnsi="Verdana" w:cs="Arial"/>
          <w:szCs w:val="20"/>
        </w:rPr>
        <w:t xml:space="preserve"> desconformidade com quaisquer outras exigências deste aviso ou seus anexos, desde que insanável.</w:t>
      </w:r>
    </w:p>
    <w:p w14:paraId="760B2E83" w14:textId="77777777" w:rsidR="00A4309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26044968"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For insuficiente para a cobertura dos custos da contratação, apresente preços global </w:t>
      </w:r>
      <w:r>
        <w:t>ou</w:t>
      </w:r>
      <w:r>
        <w:rPr>
          <w:rFonts w:ascii="Verdana" w:hAnsi="Verdana" w:cs="Arial"/>
          <w:szCs w:val="20"/>
        </w:rPr>
        <w:t xml:space="preserve">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D80F154"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Apresentar um ou mais valores da planilha de custo que sejam inferiores àqueles fixados em instrumentos de caráter normativo obrigatório, tais como leis, medidas provisórias e convenções coletivas de trabalho vigentes.</w:t>
      </w:r>
    </w:p>
    <w:p w14:paraId="26B6CF20" w14:textId="77777777" w:rsidR="00A4309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4E34CD86" w14:textId="77777777" w:rsidR="00A4309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ABD71C8"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O ajuste de que trata este dispositivo se limita a sanar erros ou falhas que não alterem a substância das propostas;</w:t>
      </w:r>
    </w:p>
    <w:p w14:paraId="30C2F946" w14:textId="77777777" w:rsidR="00A4309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42E1B052" w14:textId="77777777" w:rsidR="00A4309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73614FA" w14:textId="77777777" w:rsidR="00A4309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20CF96D6" w14:textId="77777777" w:rsidR="00A4309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56DA4551" w14:textId="77777777" w:rsidR="00A430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HABILITAÇÃO</w:t>
      </w:r>
    </w:p>
    <w:p w14:paraId="0EA20966" w14:textId="77777777" w:rsidR="00A4309E"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794F40C7" w14:textId="77777777" w:rsidR="00A4309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7075115E" w14:textId="77777777" w:rsidR="00A4309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562845BF" w14:textId="77777777" w:rsidR="00A4309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6208A14D" w14:textId="77777777" w:rsidR="00A4309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0020FCEA" w14:textId="77777777" w:rsidR="00A4309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0C934CBE"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w:t>
      </w:r>
      <w:r>
        <w:t>consultas</w:t>
      </w:r>
      <w:r>
        <w:rPr>
          <w:rFonts w:ascii="Verdana" w:hAnsi="Verdana" w:cs="Arial"/>
          <w:szCs w:val="20"/>
          <w:lang w:eastAsia="ar-SA"/>
        </w:rPr>
        <w:t xml:space="preserve"> das alíneas “b”, “c” e “d” acima pela Consulta Consolidada de Pessoa Jurídica do TCU (https://certidoesapf.apps.tcu.gov.br/)</w:t>
      </w:r>
    </w:p>
    <w:p w14:paraId="09F3BD31"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w:t>
      </w:r>
      <w:r>
        <w:t>também</w:t>
      </w:r>
      <w:r>
        <w:rPr>
          <w:rFonts w:ascii="Verdana" w:hAnsi="Verdana" w:cs="Arial"/>
          <w:szCs w:val="20"/>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ADAA13" w14:textId="77777777" w:rsidR="00A4309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F628F12" w14:textId="77777777" w:rsidR="00A4309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73177543" w14:textId="77777777" w:rsidR="00A4309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5FA6F5E"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Constatada</w:t>
      </w:r>
      <w:r>
        <w:rPr>
          <w:rFonts w:ascii="Verdana" w:hAnsi="Verdana" w:cs="Arial"/>
          <w:szCs w:val="20"/>
        </w:rPr>
        <w:t xml:space="preserve"> a existência de sanção, o fornecedor será reputado inabilitado, por falta de condição de participação.</w:t>
      </w:r>
    </w:p>
    <w:p w14:paraId="538F55DE" w14:textId="77777777" w:rsidR="00A4309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3CDE14FE"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É dever do fornecedor atualizar previamente as comprovações constantes do SICAF para que estejam vigentes na data da abertura da sessão pública, ou encaminhar, quando solicitado, a respectiva documentação atualizada.</w:t>
      </w:r>
    </w:p>
    <w:p w14:paraId="2ED82AF8"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O descumprimento do subitem acima implicará a inabilitação do fornecedor, exceto se a consulta aos sítios eletrônicos oficiais emissores de certidões lograr êxito em </w:t>
      </w:r>
      <w:r>
        <w:t>encontrar</w:t>
      </w:r>
      <w:r>
        <w:rPr>
          <w:rFonts w:ascii="Verdana" w:hAnsi="Verdana" w:cs="Arial"/>
          <w:szCs w:val="20"/>
        </w:rPr>
        <w:t xml:space="preserve"> a(s) certidão(</w:t>
      </w:r>
      <w:proofErr w:type="spellStart"/>
      <w:r>
        <w:rPr>
          <w:rFonts w:ascii="Verdana" w:hAnsi="Verdana" w:cs="Arial"/>
          <w:szCs w:val="20"/>
        </w:rPr>
        <w:t>ões</w:t>
      </w:r>
      <w:proofErr w:type="spellEnd"/>
      <w:r>
        <w:rPr>
          <w:rFonts w:ascii="Verdana" w:hAnsi="Verdana" w:cs="Arial"/>
          <w:szCs w:val="20"/>
        </w:rPr>
        <w:t>) válida(s).</w:t>
      </w:r>
    </w:p>
    <w:p w14:paraId="35F525A4" w14:textId="77777777" w:rsidR="00A4309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8B1CB3D" w14:textId="77777777" w:rsidR="00A4309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Somente haverá a necessidade de comprovação do preenchimento de requisitos mediante apresentação dos documentos originais não-digitais quando houver dúvida em relação à integridade do documento digital.</w:t>
      </w:r>
    </w:p>
    <w:p w14:paraId="77CEA1A6" w14:textId="77777777" w:rsidR="00A4309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D1C49E0" w14:textId="77777777" w:rsidR="00A4309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514AF7DB" w14:textId="77777777" w:rsidR="00A4309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44137276"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de </w:t>
      </w:r>
      <w:r>
        <w:t>classificação</w:t>
      </w:r>
      <w:r>
        <w:rPr>
          <w:rFonts w:ascii="Verdana" w:hAnsi="Verdana" w:cs="Arial"/>
          <w:szCs w:val="20"/>
        </w:rPr>
        <w:t>, até a apuração de uma proposta que atenda às especificações do objeto e as condições de habilitação</w:t>
      </w:r>
    </w:p>
    <w:p w14:paraId="391AF3E8" w14:textId="77777777" w:rsidR="00A4309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5A0BD95B" w14:textId="77777777" w:rsidR="00A4309E" w:rsidRDefault="00A4309E">
      <w:pPr>
        <w:pStyle w:val="PargrafodaLista"/>
        <w:spacing w:before="120" w:line="276" w:lineRule="auto"/>
        <w:ind w:left="567"/>
        <w:jc w:val="both"/>
        <w:rPr>
          <w:rFonts w:ascii="Verdana" w:hAnsi="Verdana" w:cs="Arial"/>
          <w:iCs/>
          <w:szCs w:val="20"/>
          <w:lang w:eastAsia="en-US"/>
        </w:rPr>
      </w:pPr>
    </w:p>
    <w:p w14:paraId="139E5C3E" w14:textId="77777777" w:rsidR="00A430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D456461" w14:textId="77777777" w:rsidR="00A4309E"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A28BD5F" w14:textId="77777777" w:rsidR="00A4309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77F5C112"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eastAsia="Arial" w:hAnsi="Verdana" w:cs="Arial"/>
          <w:iCs/>
          <w:szCs w:val="20"/>
        </w:rPr>
        <w:t xml:space="preserve">Alternativamente à convocação para comparecer perante o órgão ou entidade para a </w:t>
      </w:r>
      <w:r>
        <w:t>assinatura</w:t>
      </w:r>
      <w:r>
        <w:rPr>
          <w:rFonts w:ascii="Verdana" w:eastAsia="Arial" w:hAnsi="Verdana" w:cs="Arial"/>
          <w:iCs/>
          <w:szCs w:val="20"/>
        </w:rPr>
        <w:t xml:space="preserve"> do Termo de Contrato, a Administração poderá encaminhá-lo para assinatura, mediante correspondência postal com aviso de recebimento (AR) ou meio eletrônico, para que seja assinado e devolvido no prazo de 02 (dois) dias, a contar da data de seu recebimento. </w:t>
      </w:r>
    </w:p>
    <w:p w14:paraId="29FCCE65"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eastAsia="Arial" w:hAnsi="Verdana" w:cs="Arial"/>
          <w:szCs w:val="20"/>
        </w:rPr>
        <w:t xml:space="preserve">O </w:t>
      </w:r>
      <w:r>
        <w:t>prazo</w:t>
      </w:r>
      <w:r>
        <w:rPr>
          <w:rFonts w:ascii="Verdana" w:eastAsia="Arial" w:hAnsi="Verdana" w:cs="Arial"/>
          <w:szCs w:val="20"/>
        </w:rPr>
        <w:t xml:space="preserve">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6286C019" w14:textId="77777777" w:rsidR="00A4309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o reconhecimento de que:</w:t>
      </w:r>
    </w:p>
    <w:p w14:paraId="66845CE4"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Referida Nota ou instrumento equivalente está substituindo o contrato, aplicando-se à relação de negócios ali estabelecida as disposições da Lei nº 14.133, de 2021;</w:t>
      </w:r>
    </w:p>
    <w:p w14:paraId="7EEC808C"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eastAsia="Arial" w:hAnsi="Verdana" w:cs="Arial"/>
          <w:iCs/>
          <w:szCs w:val="20"/>
        </w:rPr>
        <w:t xml:space="preserve">A contratada se vincula à sua proposta e às previsões contidas no Aviso de </w:t>
      </w:r>
      <w:r>
        <w:t>Contratação</w:t>
      </w:r>
      <w:r>
        <w:rPr>
          <w:rFonts w:ascii="Verdana" w:eastAsia="Arial" w:hAnsi="Verdana" w:cs="Arial"/>
          <w:iCs/>
          <w:szCs w:val="20"/>
        </w:rPr>
        <w:t xml:space="preserve"> Direta e seus anexos;</w:t>
      </w:r>
    </w:p>
    <w:p w14:paraId="520C8660"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A contratada reconhece que as hipóteses de rescisão são aquelas previstas nos artigos 137 e 138 da Lei nº 14.133/21 e reconhece os direitos da Administração previstos nos artigos 137 a 139 da mesma Lei.</w:t>
      </w:r>
    </w:p>
    <w:p w14:paraId="458BF31B" w14:textId="77777777" w:rsidR="00A4309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4FA31AB" w14:textId="77777777" w:rsidR="00A4309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lastRenderedPageBreak/>
        <w:t>Na assinatura do contrato ou do instrumento equivalente será exigida a comprovação das condições de habilitação e contratação consignadas neste aviso, que deverão ser mantidas pelo fornecedor durante a vigência do contrato.</w:t>
      </w:r>
    </w:p>
    <w:p w14:paraId="2D504550" w14:textId="77777777" w:rsidR="00A4309E" w:rsidRDefault="00A4309E">
      <w:pPr>
        <w:tabs>
          <w:tab w:val="left" w:pos="588"/>
        </w:tabs>
        <w:spacing w:line="276" w:lineRule="auto"/>
        <w:jc w:val="both"/>
        <w:rPr>
          <w:rFonts w:ascii="Verdana" w:eastAsia="Arial" w:hAnsi="Verdana" w:cs="Arial"/>
          <w:szCs w:val="20"/>
        </w:rPr>
      </w:pPr>
    </w:p>
    <w:p w14:paraId="7B7FDFE2" w14:textId="77777777" w:rsidR="00A430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73BCC86D" w14:textId="77777777" w:rsidR="00A4309E"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2C61EA05"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Dar </w:t>
      </w:r>
      <w:r>
        <w:t>causa</w:t>
      </w:r>
      <w:r>
        <w:rPr>
          <w:rFonts w:ascii="Verdana" w:hAnsi="Verdana" w:cs="Arial"/>
          <w:szCs w:val="20"/>
        </w:rPr>
        <w:t xml:space="preserve"> à inexecução parcial do contrato;</w:t>
      </w:r>
    </w:p>
    <w:p w14:paraId="435B955D"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Dar causa à inexecução parcial do contrato que cause grave dano à Administração, ao </w:t>
      </w:r>
      <w:r>
        <w:t>funcionamento</w:t>
      </w:r>
      <w:r>
        <w:rPr>
          <w:rFonts w:ascii="Verdana" w:hAnsi="Verdana" w:cs="Arial"/>
          <w:szCs w:val="20"/>
        </w:rPr>
        <w:t xml:space="preserve"> dos serviços públicos ou ao interesse coletivo;</w:t>
      </w:r>
    </w:p>
    <w:p w14:paraId="2B7DD891"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Dar </w:t>
      </w:r>
      <w:r>
        <w:t>causa</w:t>
      </w:r>
      <w:r>
        <w:rPr>
          <w:rFonts w:ascii="Verdana" w:hAnsi="Verdana" w:cs="Arial"/>
          <w:szCs w:val="20"/>
        </w:rPr>
        <w:t xml:space="preserve"> à inexecução total do contrato;</w:t>
      </w:r>
    </w:p>
    <w:p w14:paraId="15EA0CF8" w14:textId="77777777" w:rsidR="00A4309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4F0034D9"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Não manter a proposta, salvo em decorrência de fato superveniente devidamente justificado;</w:t>
      </w:r>
    </w:p>
    <w:p w14:paraId="55F84FDB"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Não</w:t>
      </w:r>
      <w:r>
        <w:rPr>
          <w:rFonts w:ascii="Verdana" w:hAnsi="Verdana" w:cs="Arial"/>
          <w:szCs w:val="20"/>
        </w:rPr>
        <w:t xml:space="preserve"> celebrar o contrato ou não entregar a documentação exigida para a contratação, quando convocado dentro do prazo de validade de sua proposta;</w:t>
      </w:r>
    </w:p>
    <w:p w14:paraId="321C7B65"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 xml:space="preserve">Ensejar o retardamento da execução ou da entrega do objeto da licitação sem </w:t>
      </w:r>
      <w:r>
        <w:t>motivo</w:t>
      </w:r>
      <w:r>
        <w:rPr>
          <w:rFonts w:ascii="Verdana" w:hAnsi="Verdana" w:cs="Arial"/>
          <w:szCs w:val="20"/>
        </w:rPr>
        <w:t xml:space="preserve"> justificado;</w:t>
      </w:r>
    </w:p>
    <w:p w14:paraId="09B6AEAE"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Apresentar</w:t>
      </w:r>
      <w:r>
        <w:rPr>
          <w:rFonts w:ascii="Verdana" w:hAnsi="Verdana" w:cs="Arial"/>
          <w:szCs w:val="20"/>
        </w:rPr>
        <w:t xml:space="preserve"> declaração ou documentação falsa exigida para o certame ou prestar declaração falsa durante a dispensa eletrônica ou a execução do contrato;</w:t>
      </w:r>
    </w:p>
    <w:p w14:paraId="40580CA6"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Fraudar</w:t>
      </w:r>
      <w:r>
        <w:rPr>
          <w:rFonts w:ascii="Verdana" w:hAnsi="Verdana" w:cs="Arial"/>
          <w:szCs w:val="20"/>
        </w:rPr>
        <w:t xml:space="preserve"> a dispensa eletrônica ou praticar ato fraudulento na execução do contrato;</w:t>
      </w:r>
    </w:p>
    <w:p w14:paraId="0CEA0211"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Comportar-se de modo inidôneo ou cometer fraude de qualquer natureza;</w:t>
      </w:r>
    </w:p>
    <w:p w14:paraId="085DFDC7" w14:textId="77777777" w:rsidR="00A4309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8DD663B"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Praticar</w:t>
      </w:r>
      <w:r>
        <w:rPr>
          <w:rFonts w:ascii="Verdana" w:hAnsi="Verdana" w:cs="Arial"/>
          <w:szCs w:val="20"/>
        </w:rPr>
        <w:t xml:space="preserve"> atos ilícitos com vistas a frustrar os objetivos deste certame.</w:t>
      </w:r>
    </w:p>
    <w:p w14:paraId="00A79BFC"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Praticar</w:t>
      </w:r>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3917CF04" w14:textId="77777777" w:rsidR="00A4309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616D9655" w14:textId="77777777" w:rsidR="00A4309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42D23EE" w14:textId="77777777" w:rsidR="00A4309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12C82E44" w14:textId="77777777" w:rsidR="00A4309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24A3A126" w14:textId="77777777" w:rsidR="00A4309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469FC5B" w14:textId="77777777" w:rsidR="00A4309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610308D2"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bCs/>
          <w:szCs w:val="20"/>
        </w:rPr>
        <w:lastRenderedPageBreak/>
        <w:t xml:space="preserve">A </w:t>
      </w:r>
      <w:r>
        <w:t>natureza e a gravidade da infração cometida;</w:t>
      </w:r>
    </w:p>
    <w:p w14:paraId="4C76515B" w14:textId="77777777" w:rsidR="00A4309E" w:rsidRDefault="00000000">
      <w:pPr>
        <w:numPr>
          <w:ilvl w:val="2"/>
          <w:numId w:val="1"/>
        </w:numPr>
        <w:tabs>
          <w:tab w:val="left" w:pos="567"/>
        </w:tabs>
        <w:snapToGrid w:val="0"/>
        <w:spacing w:before="120" w:after="120" w:line="276" w:lineRule="auto"/>
        <w:ind w:left="567" w:firstLine="0"/>
        <w:jc w:val="both"/>
      </w:pPr>
      <w:r>
        <w:t>As peculiaridades do caso concreto;</w:t>
      </w:r>
    </w:p>
    <w:p w14:paraId="721BED91" w14:textId="77777777" w:rsidR="00A4309E" w:rsidRDefault="00000000">
      <w:pPr>
        <w:numPr>
          <w:ilvl w:val="2"/>
          <w:numId w:val="1"/>
        </w:numPr>
        <w:tabs>
          <w:tab w:val="left" w:pos="567"/>
        </w:tabs>
        <w:snapToGrid w:val="0"/>
        <w:spacing w:before="120" w:after="120" w:line="276" w:lineRule="auto"/>
        <w:ind w:left="567" w:firstLine="0"/>
        <w:jc w:val="both"/>
      </w:pPr>
      <w:r>
        <w:t>As circunstâncias agravantes ou atenuantes;</w:t>
      </w:r>
    </w:p>
    <w:p w14:paraId="3475C7E4" w14:textId="77777777" w:rsidR="00A4309E" w:rsidRDefault="00000000">
      <w:pPr>
        <w:numPr>
          <w:ilvl w:val="2"/>
          <w:numId w:val="1"/>
        </w:numPr>
        <w:tabs>
          <w:tab w:val="left" w:pos="567"/>
        </w:tabs>
        <w:snapToGrid w:val="0"/>
        <w:spacing w:before="120" w:after="120" w:line="276" w:lineRule="auto"/>
        <w:ind w:left="567" w:firstLine="0"/>
        <w:jc w:val="both"/>
      </w:pPr>
      <w:r>
        <w:t>Os danos que dela provierem para a Administração Pública;</w:t>
      </w:r>
    </w:p>
    <w:p w14:paraId="2582452E"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A i</w:t>
      </w:r>
      <w:r>
        <w:rPr>
          <w:rFonts w:ascii="Verdana" w:hAnsi="Verdana" w:cs="Arial"/>
          <w:bCs/>
          <w:szCs w:val="20"/>
        </w:rPr>
        <w:t>mplantação ou o aperfeiçoamento de programa de integridade, conforme normas e orientações dos órgãos de controle.</w:t>
      </w:r>
    </w:p>
    <w:p w14:paraId="11A4B6E7"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25C2%25252525A78"/>
      <w:bookmarkStart w:id="5" w:name="art156%25252525C2%25252525A77"/>
      <w:bookmarkStart w:id="6" w:name="art156%25252525C2%2525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C2%25252525A79"/>
      <w:bookmarkEnd w:id="7"/>
    </w:p>
    <w:p w14:paraId="77097071"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402B858E"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60AF5EA4"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2CEB369"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EC5AA53"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023EA33"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0CDC7B46" w14:textId="77777777" w:rsidR="00A4309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0171F09E" w14:textId="77777777" w:rsidR="00A430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289C1E" w14:textId="77777777" w:rsidR="00A4309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2FF9DFA7" w14:textId="77777777" w:rsidR="00A4309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2005C3DA"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t>Re</w:t>
      </w:r>
      <w:r>
        <w:t>publicar o presente aviso com uma nova data;</w:t>
      </w:r>
    </w:p>
    <w:p w14:paraId="18374A8B"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 xml:space="preserve">valer-se, para a contratação, de proposta obtida na pesquisa de preços que serviu de base ao procedimento, se houver, privilegiando-se os menores preços, sempre que </w:t>
      </w:r>
      <w:r>
        <w:rPr>
          <w:rFonts w:ascii="Verdana" w:hAnsi="Verdana" w:cs="Arial"/>
          <w:szCs w:val="20"/>
        </w:rPr>
        <w:t>possível, e desde que atendidas às condições de habilitação exigidas.</w:t>
      </w:r>
    </w:p>
    <w:p w14:paraId="1C336524" w14:textId="77777777" w:rsidR="00A4309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BBDF78"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szCs w:val="20"/>
        </w:rPr>
        <w:lastRenderedPageBreak/>
        <w:t xml:space="preserve">Fixar prazo para que possa haver adequação das propostas ou da documentação de </w:t>
      </w:r>
      <w:r>
        <w:t>habilitação</w:t>
      </w:r>
      <w:r>
        <w:rPr>
          <w:rFonts w:ascii="Verdana" w:hAnsi="Verdana" w:cs="Arial"/>
          <w:szCs w:val="20"/>
        </w:rPr>
        <w:t>, conforme o caso.</w:t>
      </w:r>
    </w:p>
    <w:p w14:paraId="1478E86F"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7D79A07E"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E0F0E7D"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62ABB00B"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F8D7FA4"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2266BB21"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A25A0E7"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709A956E"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7563A328"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A771BAA"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166CEC0D"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b/>
          <w:bCs/>
        </w:rPr>
        <w:t xml:space="preserve">9.12.1. </w:t>
      </w:r>
      <w:r>
        <w:rPr>
          <w:rFonts w:ascii="Verdana" w:hAnsi="Verdana"/>
        </w:rPr>
        <w:t>Se</w:t>
      </w:r>
      <w:r>
        <w:t xml:space="preserve"> perto do encerramento do expediente oficial, quando o agente de contratação poderá conferir prazo maior visando prosseguir a análise em dia útil subsequente;</w:t>
      </w:r>
    </w:p>
    <w:p w14:paraId="6BA87767"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t>9.12.2. Se pela complexidade do objeto ou tamanho do lote houver necessidade conferir prazo mai</w:t>
      </w:r>
      <w:r>
        <w:rPr>
          <w:rFonts w:ascii="Verdana" w:hAnsi="Verdana"/>
        </w:rPr>
        <w:t>or;</w:t>
      </w:r>
    </w:p>
    <w:p w14:paraId="38F98B9A"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86D5D0C" w14:textId="77777777" w:rsidR="00A4309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769787D9" w14:textId="77777777" w:rsidR="00A430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2E437EA7" w14:textId="77777777" w:rsidR="00A4309E" w:rsidRDefault="00000000">
      <w:pPr>
        <w:numPr>
          <w:ilvl w:val="2"/>
          <w:numId w:val="1"/>
        </w:numPr>
        <w:tabs>
          <w:tab w:val="left" w:pos="567"/>
        </w:tabs>
        <w:snapToGrid w:val="0"/>
        <w:spacing w:before="120" w:after="120" w:line="276" w:lineRule="auto"/>
        <w:ind w:left="567" w:firstLine="0"/>
        <w:jc w:val="both"/>
      </w:pPr>
      <w:r>
        <w:t>ANEXO I – Documentação exigida para Habilitação;</w:t>
      </w:r>
    </w:p>
    <w:p w14:paraId="6E5E9904" w14:textId="77777777" w:rsidR="00A4309E" w:rsidRDefault="00000000">
      <w:pPr>
        <w:numPr>
          <w:ilvl w:val="2"/>
          <w:numId w:val="1"/>
        </w:numPr>
        <w:tabs>
          <w:tab w:val="left" w:pos="567"/>
        </w:tabs>
        <w:snapToGrid w:val="0"/>
        <w:spacing w:before="120" w:after="120" w:line="276" w:lineRule="auto"/>
        <w:ind w:left="567" w:firstLine="0"/>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3E21322D" w14:textId="77777777" w:rsidR="00A4309E"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lastRenderedPageBreak/>
        <w:tab/>
        <w:t>9.15.2.1 ANEXO II-1</w:t>
      </w:r>
      <w:r>
        <w:rPr>
          <w:rFonts w:ascii="Verdana" w:hAnsi="Verdana" w:cs="Arial"/>
          <w:szCs w:val="20"/>
        </w:rPr>
        <w:t xml:space="preserve"> – Estudo Técnico Preliminar;</w:t>
      </w:r>
    </w:p>
    <w:p w14:paraId="1A8ECEC7" w14:textId="77777777" w:rsidR="00A4309E"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739F6761" w14:textId="77777777" w:rsidR="00A4309E" w:rsidRDefault="00A4309E">
      <w:pPr>
        <w:tabs>
          <w:tab w:val="left" w:pos="1560"/>
        </w:tabs>
        <w:spacing w:line="276" w:lineRule="auto"/>
        <w:ind w:left="1224"/>
        <w:jc w:val="both"/>
        <w:rPr>
          <w:rFonts w:ascii="Verdana" w:hAnsi="Verdana" w:cs="Arial"/>
          <w:szCs w:val="20"/>
        </w:rPr>
      </w:pPr>
    </w:p>
    <w:p w14:paraId="454DF231" w14:textId="0BF10D1E" w:rsidR="00A4309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5A6264">
        <w:rPr>
          <w:rFonts w:ascii="Verdana" w:hAnsi="Verdana" w:cs="Arial"/>
          <w:szCs w:val="20"/>
        </w:rPr>
        <w:t xml:space="preserve">22 </w:t>
      </w:r>
      <w:r>
        <w:rPr>
          <w:rFonts w:ascii="Verdana" w:hAnsi="Verdana" w:cs="Arial"/>
          <w:szCs w:val="20"/>
        </w:rPr>
        <w:t xml:space="preserve">de </w:t>
      </w:r>
      <w:r w:rsidR="005A6264">
        <w:rPr>
          <w:rFonts w:ascii="Verdana" w:hAnsi="Verdana" w:cs="Arial"/>
          <w:szCs w:val="20"/>
        </w:rPr>
        <w:t>janeiro</w:t>
      </w:r>
      <w:r>
        <w:rPr>
          <w:rFonts w:ascii="Verdana" w:hAnsi="Verdana" w:cs="Arial"/>
          <w:szCs w:val="20"/>
        </w:rPr>
        <w:t xml:space="preserve"> de 202</w:t>
      </w:r>
      <w:r w:rsidR="005A6264">
        <w:rPr>
          <w:rFonts w:ascii="Verdana" w:hAnsi="Verdana" w:cs="Arial"/>
          <w:szCs w:val="20"/>
        </w:rPr>
        <w:t>5</w:t>
      </w:r>
      <w:r>
        <w:rPr>
          <w:rFonts w:ascii="Verdana" w:hAnsi="Verdana" w:cs="Arial"/>
          <w:szCs w:val="20"/>
        </w:rPr>
        <w:t>.</w:t>
      </w:r>
    </w:p>
    <w:p w14:paraId="5A5128AD" w14:textId="6D9AFA1E" w:rsidR="00A4309E" w:rsidRDefault="00A4309E">
      <w:pPr>
        <w:spacing w:after="120" w:line="276" w:lineRule="auto"/>
        <w:ind w:left="360" w:right="-15"/>
        <w:jc w:val="center"/>
        <w:rPr>
          <w:rFonts w:ascii="Verdana" w:hAnsi="Verdana" w:cs="Arial"/>
          <w:szCs w:val="20"/>
        </w:rPr>
      </w:pPr>
    </w:p>
    <w:p w14:paraId="6D7A38E5" w14:textId="77777777" w:rsidR="005A6264" w:rsidRDefault="005A6264">
      <w:pPr>
        <w:spacing w:after="120" w:line="276" w:lineRule="auto"/>
        <w:ind w:left="360" w:right="-15"/>
        <w:jc w:val="center"/>
        <w:rPr>
          <w:rFonts w:ascii="Verdana" w:hAnsi="Verdana" w:cs="Arial"/>
          <w:szCs w:val="20"/>
        </w:rPr>
      </w:pPr>
    </w:p>
    <w:p w14:paraId="76925DBF" w14:textId="77777777" w:rsidR="00A4309E" w:rsidRDefault="00A4309E">
      <w:pPr>
        <w:spacing w:after="120" w:line="276" w:lineRule="auto"/>
        <w:ind w:left="360" w:right="-15"/>
        <w:jc w:val="center"/>
        <w:rPr>
          <w:rFonts w:ascii="Verdana" w:hAnsi="Verdana" w:cs="Arial"/>
          <w:szCs w:val="20"/>
        </w:rPr>
      </w:pPr>
    </w:p>
    <w:p w14:paraId="68234D9D" w14:textId="77777777" w:rsidR="00A4309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2D656929" w14:textId="77777777" w:rsidR="00A4309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4309E">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735B5" w14:textId="77777777" w:rsidR="00B52BA2" w:rsidRDefault="00B52BA2">
      <w:r>
        <w:separator/>
      </w:r>
    </w:p>
  </w:endnote>
  <w:endnote w:type="continuationSeparator" w:id="0">
    <w:p w14:paraId="463B2957" w14:textId="77777777" w:rsidR="00B52BA2" w:rsidRDefault="00B5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A01F" w14:textId="77777777" w:rsidR="00B52BA2" w:rsidRDefault="00B52BA2">
      <w:r>
        <w:separator/>
      </w:r>
    </w:p>
  </w:footnote>
  <w:footnote w:type="continuationSeparator" w:id="0">
    <w:p w14:paraId="23D970CF" w14:textId="77777777" w:rsidR="00B52BA2" w:rsidRDefault="00B52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E327B" w14:textId="77777777" w:rsidR="00A4309E" w:rsidRDefault="00000000">
    <w:pPr>
      <w:pStyle w:val="Cabealho"/>
    </w:pPr>
    <w:r>
      <w:pict w14:anchorId="7A73003B">
        <v:shape id="PowerPlusWaterMarkObject259915282" o:spid="_x0000_s1027" style="position:absolute;margin-left:0;margin-top:0;width:54.4pt;height:54.05pt;z-index:251657728;mso-wrap-style:none;mso-position-horizontal:center;mso-position-horizontal-relative:margin;mso-position-vertical:center;mso-position-vertical-relative:margin;v-text-anchor:middle" coordsize="1921,1910" o:spt="100" o:allowincell="f" adj="0,,0" path="m,8r,xm6,1l,8,7,,6,1xm,8r,xm1919,1909l,8,1920,1908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86E69" w14:textId="77777777" w:rsidR="00A4309E"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28DCBE3D" wp14:editId="377AE5BB">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00CBF9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pt;height:1.1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4309A85" w14:textId="77777777" w:rsidR="00A4309E" w:rsidRDefault="00000000">
    <w:pPr>
      <w:jc w:val="center"/>
      <w:rPr>
        <w:rFonts w:ascii="Verdana" w:hAnsi="Verdana"/>
        <w:b/>
        <w:bCs/>
        <w:szCs w:val="20"/>
      </w:rPr>
    </w:pPr>
    <w:r>
      <w:rPr>
        <w:rFonts w:ascii="Verdana" w:hAnsi="Verdana" w:cs="Calibri"/>
        <w:b/>
        <w:bCs/>
        <w:szCs w:val="20"/>
      </w:rPr>
      <w:t xml:space="preserve"> Secretaria Municipal de Administração</w:t>
    </w:r>
  </w:p>
  <w:p w14:paraId="47A4BB34" w14:textId="77777777" w:rsidR="00A4309E" w:rsidRDefault="00A4309E">
    <w:pPr>
      <w:jc w:val="center"/>
      <w:rPr>
        <w:sz w:val="16"/>
        <w:szCs w:val="16"/>
      </w:rPr>
    </w:pPr>
  </w:p>
  <w:p w14:paraId="15AEA065" w14:textId="77777777" w:rsidR="00A4309E" w:rsidRDefault="00A4309E">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88138" w14:textId="77777777" w:rsidR="00A4309E"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2C3F950C" wp14:editId="1E45BDB0">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748ABD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pt;height:1.1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5A822885" w14:textId="77777777" w:rsidR="00A4309E" w:rsidRDefault="00000000">
    <w:pPr>
      <w:jc w:val="center"/>
      <w:rPr>
        <w:rFonts w:ascii="Verdana" w:hAnsi="Verdana"/>
        <w:b/>
        <w:bCs/>
        <w:szCs w:val="20"/>
      </w:rPr>
    </w:pPr>
    <w:r>
      <w:rPr>
        <w:rFonts w:ascii="Verdana" w:hAnsi="Verdana" w:cs="Calibri"/>
        <w:b/>
        <w:bCs/>
        <w:szCs w:val="20"/>
      </w:rPr>
      <w:t xml:space="preserve"> Secretaria Municipal de Administração</w:t>
    </w:r>
  </w:p>
  <w:p w14:paraId="4E5954CD" w14:textId="77777777" w:rsidR="00A4309E" w:rsidRDefault="00A4309E">
    <w:pPr>
      <w:jc w:val="center"/>
      <w:rPr>
        <w:sz w:val="16"/>
        <w:szCs w:val="16"/>
      </w:rPr>
    </w:pPr>
  </w:p>
  <w:p w14:paraId="5417182F" w14:textId="77777777" w:rsidR="00A4309E" w:rsidRDefault="00A4309E">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F79A0"/>
    <w:multiLevelType w:val="multilevel"/>
    <w:tmpl w:val="61F20B3A"/>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1" w15:restartNumberingAfterBreak="0">
    <w:nsid w:val="123B0FD0"/>
    <w:multiLevelType w:val="multilevel"/>
    <w:tmpl w:val="BCB890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04B0E76"/>
    <w:multiLevelType w:val="multilevel"/>
    <w:tmpl w:val="04047F84"/>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15:restartNumberingAfterBreak="0">
    <w:nsid w:val="2B7D0DA2"/>
    <w:multiLevelType w:val="multilevel"/>
    <w:tmpl w:val="5BE616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5272E2C"/>
    <w:multiLevelType w:val="multilevel"/>
    <w:tmpl w:val="352A0AC6"/>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68629243">
    <w:abstractNumId w:val="4"/>
  </w:num>
  <w:num w:numId="2" w16cid:durableId="465123852">
    <w:abstractNumId w:val="2"/>
  </w:num>
  <w:num w:numId="3" w16cid:durableId="538397317">
    <w:abstractNumId w:val="3"/>
  </w:num>
  <w:num w:numId="4" w16cid:durableId="1787893684">
    <w:abstractNumId w:val="0"/>
  </w:num>
  <w:num w:numId="5" w16cid:durableId="20010801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09E"/>
    <w:rsid w:val="005A6264"/>
    <w:rsid w:val="00A4309E"/>
    <w:rsid w:val="00B52BA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FAC1A"/>
  <w15:docId w15:val="{B9341120-F963-4A23-888E-5EB135BC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11</Pages>
  <Words>4772</Words>
  <Characters>25771</Characters>
  <Application>Microsoft Office Word</Application>
  <DocSecurity>0</DocSecurity>
  <Lines>214</Lines>
  <Paragraphs>60</Paragraphs>
  <ScaleCrop>false</ScaleCrop>
  <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45</cp:revision>
  <cp:lastPrinted>2025-01-22T13:49:00Z</cp:lastPrinted>
  <dcterms:created xsi:type="dcterms:W3CDTF">2024-02-27T18:18:00Z</dcterms:created>
  <dcterms:modified xsi:type="dcterms:W3CDTF">2025-01-22T13:50:00Z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